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971" w:rsidRDefault="00B74971" w:rsidP="00B74971">
      <w:pPr>
        <w:jc w:val="both"/>
        <w:rPr>
          <w:sz w:val="22"/>
          <w:szCs w:val="22"/>
          <w:highlight w:val="yellow"/>
          <w:lang w:val="sr-Cyrl-C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B74971" w:rsidRPr="00D36988" w:rsidTr="00423F01">
        <w:tc>
          <w:tcPr>
            <w:tcW w:w="0" w:type="auto"/>
            <w:shd w:val="clear" w:color="auto" w:fill="F2F2F2"/>
          </w:tcPr>
          <w:p w:rsidR="00B74971" w:rsidRPr="00D36988" w:rsidRDefault="00B74971" w:rsidP="00423F01">
            <w:pPr>
              <w:spacing w:after="60"/>
              <w:jc w:val="both"/>
              <w:rPr>
                <w:b/>
                <w:sz w:val="22"/>
                <w:szCs w:val="22"/>
                <w:lang w:val="ru-RU"/>
              </w:rPr>
            </w:pPr>
            <w:bookmarkStart w:id="0" w:name="с5"/>
            <w:bookmarkEnd w:id="0"/>
            <w:r w:rsidRPr="00D36988">
              <w:rPr>
                <w:b/>
                <w:sz w:val="22"/>
                <w:szCs w:val="22"/>
                <w:lang w:val="sr-Cyrl-CS"/>
              </w:rPr>
              <w:t>Стандард 5: Курикулум</w:t>
            </w:r>
          </w:p>
          <w:p w:rsidR="00B74971" w:rsidRPr="00D36988" w:rsidRDefault="00B74971" w:rsidP="00423F01">
            <w:pPr>
              <w:spacing w:after="60"/>
              <w:jc w:val="both"/>
              <w:rPr>
                <w:sz w:val="22"/>
                <w:szCs w:val="22"/>
                <w:highlight w:val="yellow"/>
                <w:lang w:val="sr-Cyrl-CS"/>
              </w:rPr>
            </w:pPr>
            <w:r w:rsidRPr="00D36988">
              <w:rPr>
                <w:sz w:val="22"/>
                <w:szCs w:val="22"/>
                <w:lang w:val="sr-Cyrl-CS"/>
              </w:rPr>
              <w:t>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w:t>
            </w:r>
          </w:p>
        </w:tc>
      </w:tr>
      <w:tr w:rsidR="00B74971" w:rsidRPr="00D36988" w:rsidTr="00423F01">
        <w:tc>
          <w:tcPr>
            <w:tcW w:w="0" w:type="auto"/>
          </w:tcPr>
          <w:p w:rsidR="00B74971" w:rsidRPr="00D36988" w:rsidRDefault="00B74971" w:rsidP="00423F01">
            <w:pPr>
              <w:shd w:val="clear" w:color="auto" w:fill="FFFFFF"/>
              <w:jc w:val="both"/>
              <w:rPr>
                <w:b/>
                <w:sz w:val="22"/>
                <w:szCs w:val="22"/>
                <w:lang w:val="sr-Cyrl-CS"/>
              </w:rPr>
            </w:pPr>
            <w:r w:rsidRPr="00D36988">
              <w:rPr>
                <w:b/>
                <w:sz w:val="22"/>
                <w:szCs w:val="22"/>
                <w:lang w:val="sr-Cyrl-CS"/>
              </w:rPr>
              <w:t>Опис (највише 300 речи):</w:t>
            </w:r>
          </w:p>
          <w:p w:rsidR="00B74971" w:rsidRPr="00B74971" w:rsidRDefault="00B74971" w:rsidP="00B74971">
            <w:pPr>
              <w:spacing w:after="60"/>
              <w:jc w:val="both"/>
              <w:rPr>
                <w:sz w:val="22"/>
                <w:szCs w:val="22"/>
                <w:lang w:val="ru-RU"/>
              </w:rPr>
            </w:pPr>
            <w:r w:rsidRPr="00B74971">
              <w:rPr>
                <w:sz w:val="22"/>
                <w:szCs w:val="22"/>
                <w:lang w:val="ru-RU"/>
              </w:rPr>
              <w:t>Студијски програм докторских студија из Медицинских наука састоји се од едукативног и истраживачког дела и одвија се у оквиру 2</w:t>
            </w:r>
            <w:r>
              <w:rPr>
                <w:sz w:val="22"/>
                <w:szCs w:val="22"/>
                <w:lang w:val="ru-RU"/>
              </w:rPr>
              <w:t>9</w:t>
            </w:r>
            <w:r w:rsidRPr="00B74971">
              <w:rPr>
                <w:sz w:val="22"/>
                <w:szCs w:val="22"/>
                <w:lang w:val="ru-RU"/>
              </w:rPr>
              <w:t xml:space="preserve"> изборнa подручја (смерова): Mолекуларна медицина, Eпидемиологија, Физиолошке науке, Биологија скелета, Ендокринологија, Истраживања у кардиоваскулaрној медицини, Неурологија, Реконструктивна хирургија, Јавно здравље, Неуронауке, Медицинска фармакологија, Радиологија и нуклеарна медицина, Пулмологија, Нефрологија, Хумана репродукција, перинатологија и неонатологија, Биологија тумора и оксидативна обољења, Микроби и инфекција, Запаљење и аутоимуност, Биомедицинска информатика, Истраживања у рехабилитацији, Еколошки и нутритивни фактори и здравље</w:t>
            </w:r>
            <w:r>
              <w:rPr>
                <w:sz w:val="22"/>
                <w:szCs w:val="22"/>
                <w:lang w:val="ru-RU"/>
              </w:rPr>
              <w:t>,</w:t>
            </w:r>
            <w:r w:rsidRPr="00B74971">
              <w:rPr>
                <w:sz w:val="22"/>
                <w:szCs w:val="22"/>
                <w:lang w:val="ru-RU"/>
              </w:rPr>
              <w:t xml:space="preserve">  Примењена истраживања у медицини спорта и моторним вештинама</w:t>
            </w:r>
            <w:r>
              <w:rPr>
                <w:sz w:val="22"/>
                <w:szCs w:val="22"/>
                <w:lang w:val="ru-RU"/>
              </w:rPr>
              <w:t xml:space="preserve">, </w:t>
            </w:r>
            <w:r w:rsidRPr="00B74971">
              <w:rPr>
                <w:sz w:val="22"/>
                <w:szCs w:val="22"/>
                <w:lang w:val="ru-RU"/>
              </w:rPr>
              <w:t>Биофизичка истраживања у медицини, Истраживања психопатолошких феномена и поремећаја, Гинекологија и гинеколошка онкологија, Патолошке основе болести, Персонализована терапија хематолошких обољења, Фет</w:t>
            </w:r>
            <w:r>
              <w:rPr>
                <w:sz w:val="22"/>
                <w:szCs w:val="22"/>
                <w:lang w:val="ru-RU"/>
              </w:rPr>
              <w:t xml:space="preserve">ално програмирање и пренатална </w:t>
            </w:r>
            <w:r w:rsidRPr="00B74971">
              <w:rPr>
                <w:sz w:val="22"/>
                <w:szCs w:val="22"/>
                <w:lang w:val="ru-RU"/>
              </w:rPr>
              <w:t xml:space="preserve">превенција </w:t>
            </w:r>
            <w:r>
              <w:rPr>
                <w:sz w:val="22"/>
                <w:szCs w:val="22"/>
                <w:lang w:val="ru-RU"/>
              </w:rPr>
              <w:t xml:space="preserve">болести адултног доба и </w:t>
            </w:r>
            <w:r w:rsidRPr="00B74971">
              <w:rPr>
                <w:sz w:val="22"/>
                <w:szCs w:val="22"/>
                <w:lang w:val="ru-RU"/>
              </w:rPr>
              <w:t xml:space="preserve">Когнитивне неуронауке. </w:t>
            </w:r>
          </w:p>
          <w:p w:rsidR="00901DE9" w:rsidRPr="00901DE9" w:rsidRDefault="00B74971" w:rsidP="00901DE9">
            <w:pPr>
              <w:spacing w:after="60"/>
              <w:jc w:val="both"/>
              <w:rPr>
                <w:sz w:val="22"/>
                <w:szCs w:val="22"/>
              </w:rPr>
            </w:pPr>
            <w:r w:rsidRPr="00B74971">
              <w:rPr>
                <w:sz w:val="22"/>
                <w:szCs w:val="22"/>
                <w:lang w:val="ru-RU"/>
              </w:rPr>
              <w:t>Едукативни део састоји се из обавезних и изборних предмета. Методологија научноистраживачког рада, Статистика за истраживаче у области биомедицинских наука (базични курс)</w:t>
            </w:r>
            <w:r>
              <w:rPr>
                <w:sz w:val="22"/>
                <w:szCs w:val="22"/>
                <w:lang w:val="ru-RU"/>
              </w:rPr>
              <w:t>, Информатика</w:t>
            </w:r>
            <w:r w:rsidRPr="00B74971">
              <w:rPr>
                <w:sz w:val="22"/>
                <w:szCs w:val="22"/>
                <w:lang w:val="ru-RU"/>
              </w:rPr>
              <w:t xml:space="preserve"> и Истраживачка етика су обавезни за сва изборна подручја, док су одговарајући предмети обавезни за свако изборно продручје посебно. Епидемиолошке методе први део, Епидемиолошке методе други део и Статистика за истраживаче у области биомедицинских наука (виши курс) су обавезни за изборно подручје Епидемиологија, a Молекуларна генетика човека и Ћелијска биологија обавезни за изборно подручје Молекуларне медицине. За изборно подручје Физиолошке науке обавезни предмети су Хомеостатски системи, Поремећаји хомеостазе и Фармаколошка модулација поремећаја хомеостазе; за изборно подручје Биологија скелета обавезни су Функционална остеологија и старење коштаног система и Патологија скелета и imaging технике за приказивање коштаног ткива; за изборно подручје Ендокринологије - Клиничка ендокринологија: истраживачки проблеми и методе (први део) и Клиничка ендокринологија: истраживачки проблеми и методе (други део); за изборно подручје Истраживања у кардиоваскулaрној медицини обавезни су Савремене теме у кардиоваскуларним истраживањима, Поставка, писање, анализа и презентација научног рада и Статистика за истраживаче у области биомедицинских наука (виши курс); за изборно подручје Неурологија обавезни су Неуробиологија, Неуроимиџинг и Статистика за истраживаче у области биомедицинских наука (виши курс); за изборно подручје Реконструктивна хирургија обавезни су Функционална морфологија система и органа човека, Небиолошки материјали у реконструкцији органа и органских система и Статистика за истраживаче у области биомедицинских наука (виши курс); и за изборно подручје Јавно здравље обавезни су Јавно здравље, Основе јавно-здравствених истраживања, Биостатистика у јавно-здравственим истраживањима и Детерминанте здравља-ротације. За изборно подручје Неуронауке обавезни предмети су Неурофизиологија, Анатомија и развој нервног система, Молекуларна биологија нервног система; а изборно подручје Медицинска фармакологија обавезни су Фармакодинамика, Фармакокинетика и нежељене интеракције лекова и Специјална клиничка фармакологија (виши курс); за изборно подручје Радиологија и нуклеарна медицина обавезни су Радиолошке методе, Нуклеарно медицинске методе и Статистика за истраживаче у области биомедицинских наука (виши курс); за изборно подручје Пулмологија обавезни су Клиничка пулмологија: методе и истраживачки проблеми и Статистика за истраживаче у области биомедицинских наука (виши курс); за изборно подручје Нефрологија обавезни су Клиничка нефрологија: истраживачки проблеми и методе и Статистика за истраживаче у области биомедицинских наука (виши курс); за изборно подручје </w:t>
            </w:r>
            <w:r w:rsidRPr="00B74971">
              <w:rPr>
                <w:sz w:val="22"/>
                <w:szCs w:val="22"/>
                <w:lang w:val="ru-RU"/>
              </w:rPr>
              <w:lastRenderedPageBreak/>
              <w:t>Хумана репродукција, перинатологија и неонатологија обавезни су Морфологија, ембриологија и физиологија хумане репрoдукције, Перинатологија и неонатологија – Пренатална дијагностика,  Перинатологија и неонатологија – Патологија трудноће; за изборно подручје Биологија тумора и оксидативна обољења обавезни предмети су Молекуларна и ћелијска биологија тумора и Слободни радикали у биологији и медицини; за изборно подручје Микроби и инфекција обавезни предмети су Молекуларни и ћелијски аспекти патогенезе инфективних болести, Имуност у инфекцији и Молекуларне методе у микробиологији и имунологији; за изборно подручје Запаљење и аутоимуност обавезни предмети су Аутоимуност-основни принципи и клиничке корелације и Инфламација-основни принципи и клиничке корелације; за изборно подручје Биомедицинска информатика обавезни предмети су Медицинско-информатичке методе I, Медицинско-информатичке методе II и Статистика за истраживаче у области биомедицинских наука (виши курс); за изборно подручје Истраживања у рехабилитацији обавезни предмети су Функционална испитивања и дијагностичке методе у рехабилитацији, Перспективне и контраверзе у истраживањима у рехабилитацији и Онеспособљеност и истраживања у рехабилитацији; за изборно подручје Еколошки и нутритивни фактори и здравље обавезни предмети су Животна средина и здравље: методе и истраживачки проблеми, Испитивање исхране и ухрањености: методе и истраживачки проблеми и Превентивно медицински проблеми у катастрофама; за изборно подручје Примењена истраживања у медицини спорта и моторним вештинама обавезни предмети су Механизми одговора организма на физичку активност, Испитивање функционалне и моторне способности и Клинички синдроми и стања у области медиц</w:t>
            </w:r>
            <w:r>
              <w:rPr>
                <w:sz w:val="22"/>
                <w:szCs w:val="22"/>
                <w:lang w:val="ru-RU"/>
              </w:rPr>
              <w:t xml:space="preserve">ине спорта и физичке активности; </w:t>
            </w:r>
            <w:proofErr w:type="spellStart"/>
            <w:r w:rsidR="00533459">
              <w:rPr>
                <w:sz w:val="22"/>
                <w:szCs w:val="22"/>
                <w:lang w:val="en-US"/>
              </w:rPr>
              <w:t>за</w:t>
            </w:r>
            <w:proofErr w:type="spellEnd"/>
            <w:r w:rsidR="00533459">
              <w:rPr>
                <w:sz w:val="22"/>
                <w:szCs w:val="22"/>
                <w:lang w:val="en-US"/>
              </w:rPr>
              <w:t xml:space="preserve"> </w:t>
            </w:r>
            <w:proofErr w:type="spellStart"/>
            <w:r w:rsidR="00533459">
              <w:rPr>
                <w:sz w:val="22"/>
                <w:szCs w:val="22"/>
                <w:lang w:val="en-US"/>
              </w:rPr>
              <w:t>изборно</w:t>
            </w:r>
            <w:proofErr w:type="spellEnd"/>
            <w:r w:rsidR="00533459">
              <w:rPr>
                <w:sz w:val="22"/>
                <w:szCs w:val="22"/>
                <w:lang w:val="en-US"/>
              </w:rPr>
              <w:t xml:space="preserve"> </w:t>
            </w:r>
            <w:proofErr w:type="spellStart"/>
            <w:r w:rsidR="00533459">
              <w:rPr>
                <w:sz w:val="22"/>
                <w:szCs w:val="22"/>
                <w:lang w:val="en-US"/>
              </w:rPr>
              <w:t>подручје</w:t>
            </w:r>
            <w:proofErr w:type="spellEnd"/>
            <w:r w:rsidR="00533459">
              <w:rPr>
                <w:sz w:val="22"/>
                <w:szCs w:val="22"/>
                <w:lang w:val="en-US"/>
              </w:rPr>
              <w:t xml:space="preserve"> </w:t>
            </w:r>
            <w:proofErr w:type="spellStart"/>
            <w:r w:rsidR="00533459">
              <w:rPr>
                <w:sz w:val="22"/>
                <w:szCs w:val="22"/>
                <w:lang w:val="en-US"/>
              </w:rPr>
              <w:t>Биофизи</w:t>
            </w:r>
            <w:proofErr w:type="spellEnd"/>
            <w:r w:rsidR="00533459">
              <w:rPr>
                <w:sz w:val="22"/>
                <w:szCs w:val="22"/>
              </w:rPr>
              <w:t>ч</w:t>
            </w:r>
            <w:proofErr w:type="spellStart"/>
            <w:r w:rsidR="00533459">
              <w:rPr>
                <w:sz w:val="22"/>
                <w:szCs w:val="22"/>
                <w:lang w:val="en-US"/>
              </w:rPr>
              <w:t>ка</w:t>
            </w:r>
            <w:proofErr w:type="spellEnd"/>
            <w:r w:rsidR="00533459">
              <w:rPr>
                <w:sz w:val="22"/>
                <w:szCs w:val="22"/>
                <w:lang w:val="en-US"/>
              </w:rPr>
              <w:t xml:space="preserve"> </w:t>
            </w:r>
            <w:proofErr w:type="spellStart"/>
            <w:r w:rsidR="00533459">
              <w:rPr>
                <w:sz w:val="22"/>
                <w:szCs w:val="22"/>
                <w:lang w:val="en-US"/>
              </w:rPr>
              <w:t>истраживања</w:t>
            </w:r>
            <w:proofErr w:type="spellEnd"/>
            <w:r w:rsidR="00533459">
              <w:rPr>
                <w:sz w:val="22"/>
                <w:szCs w:val="22"/>
              </w:rPr>
              <w:t xml:space="preserve"> у медицини, обавезни предмети су Примењена истраживања у области медицинске физиологије и биофизике, Динамика биофлуида и системска биофизика и Биотермодинамика и биомеханика; за изборно подручје </w:t>
            </w:r>
            <w:r w:rsidR="00533459" w:rsidRPr="00533459">
              <w:rPr>
                <w:sz w:val="22"/>
                <w:szCs w:val="22"/>
              </w:rPr>
              <w:t>Истраживања психопатолошких феномена и поремећаја</w:t>
            </w:r>
            <w:r w:rsidR="00533459">
              <w:rPr>
                <w:sz w:val="22"/>
                <w:szCs w:val="22"/>
              </w:rPr>
              <w:t xml:space="preserve">, обавезни предмети су </w:t>
            </w:r>
            <w:r w:rsidR="00533459" w:rsidRPr="00533459">
              <w:rPr>
                <w:sz w:val="22"/>
                <w:szCs w:val="22"/>
              </w:rPr>
              <w:t xml:space="preserve">Биолошке и психолошке основе менталних поремећаја </w:t>
            </w:r>
            <w:r w:rsidR="00533459">
              <w:rPr>
                <w:sz w:val="22"/>
                <w:szCs w:val="22"/>
              </w:rPr>
              <w:t xml:space="preserve">и </w:t>
            </w:r>
            <w:r w:rsidR="00533459" w:rsidRPr="00533459">
              <w:rPr>
                <w:sz w:val="22"/>
                <w:szCs w:val="22"/>
              </w:rPr>
              <w:t>Фундаментални принципи психопатологије и терапије менталних поремећаја</w:t>
            </w:r>
            <w:r w:rsidR="00533459">
              <w:rPr>
                <w:sz w:val="22"/>
                <w:szCs w:val="22"/>
              </w:rPr>
              <w:t xml:space="preserve">; за изборно подручје Гинекологија и гинеколошка онкологија, обавезни предмети су Гинеколошка онкологија, Гинекологија и Онкофертилитет; за изборно подручје Патолошке основе болести, обавезни предмети су </w:t>
            </w:r>
            <w:r w:rsidR="00533459" w:rsidRPr="00533459">
              <w:rPr>
                <w:sz w:val="22"/>
                <w:szCs w:val="22"/>
              </w:rPr>
              <w:t>Методе у патологији и молекуларној патологији, Патолошке основе немалигних болести</w:t>
            </w:r>
            <w:r w:rsidR="00533459">
              <w:rPr>
                <w:sz w:val="22"/>
                <w:szCs w:val="22"/>
              </w:rPr>
              <w:t xml:space="preserve"> и Патологија тумора; за изборно подручје </w:t>
            </w:r>
            <w:r w:rsidR="00533459" w:rsidRPr="00533459">
              <w:rPr>
                <w:sz w:val="22"/>
                <w:szCs w:val="22"/>
              </w:rPr>
              <w:t>Персонализована терапија хематолошких обољења</w:t>
            </w:r>
            <w:r w:rsidR="00533459">
              <w:rPr>
                <w:sz w:val="22"/>
                <w:szCs w:val="22"/>
              </w:rPr>
              <w:t xml:space="preserve">, обавезни предмети су </w:t>
            </w:r>
            <w:r w:rsidR="00533459" w:rsidRPr="00533459">
              <w:rPr>
                <w:sz w:val="22"/>
                <w:szCs w:val="22"/>
              </w:rPr>
              <w:t>Молекуларни механизми регулације хематопоезе</w:t>
            </w:r>
            <w:r w:rsidR="00901DE9">
              <w:rPr>
                <w:sz w:val="22"/>
                <w:szCs w:val="22"/>
              </w:rPr>
              <w:t xml:space="preserve"> и </w:t>
            </w:r>
            <w:r w:rsidR="00533459" w:rsidRPr="00533459">
              <w:rPr>
                <w:sz w:val="22"/>
                <w:szCs w:val="22"/>
              </w:rPr>
              <w:t>Фундаментални принципи патогенезе хематолошких неоплазми и савремени терапијски модалитети</w:t>
            </w:r>
            <w:r w:rsidR="00901DE9">
              <w:rPr>
                <w:sz w:val="22"/>
                <w:szCs w:val="22"/>
              </w:rPr>
              <w:t xml:space="preserve">; за изборно подручје </w:t>
            </w:r>
            <w:r w:rsidR="00901DE9" w:rsidRPr="00901DE9">
              <w:rPr>
                <w:sz w:val="22"/>
                <w:szCs w:val="22"/>
              </w:rPr>
              <w:t>Фетално програмирање и пренатална  превенција  болести адултног доба</w:t>
            </w:r>
            <w:r w:rsidR="00901DE9">
              <w:rPr>
                <w:sz w:val="22"/>
                <w:szCs w:val="22"/>
              </w:rPr>
              <w:t xml:space="preserve">, обавезни предмети су </w:t>
            </w:r>
            <w:r w:rsidR="00901DE9" w:rsidRPr="00901DE9">
              <w:rPr>
                <w:sz w:val="22"/>
                <w:szCs w:val="22"/>
              </w:rPr>
              <w:t>Фетално програмирање и пренатална превенција болести адултног доба, Фетални раст</w:t>
            </w:r>
            <w:r w:rsidR="00901DE9">
              <w:rPr>
                <w:sz w:val="22"/>
                <w:szCs w:val="22"/>
              </w:rPr>
              <w:t xml:space="preserve"> и развој и фетус као пацијент и </w:t>
            </w:r>
            <w:r w:rsidR="00901DE9" w:rsidRPr="00901DE9">
              <w:rPr>
                <w:sz w:val="22"/>
                <w:szCs w:val="22"/>
              </w:rPr>
              <w:t>Индивидуализован приступ вођењу порођаја патолошких трудноћа</w:t>
            </w:r>
            <w:r w:rsidR="00901DE9">
              <w:rPr>
                <w:sz w:val="22"/>
                <w:szCs w:val="22"/>
              </w:rPr>
              <w:t xml:space="preserve">;за изборно подручје Когнитивне неуронауке, обавезни предмети су </w:t>
            </w:r>
            <w:r w:rsidR="00901DE9" w:rsidRPr="00901DE9">
              <w:rPr>
                <w:sz w:val="22"/>
                <w:szCs w:val="22"/>
              </w:rPr>
              <w:t>Когнитивна неуропсихологија</w:t>
            </w:r>
            <w:r w:rsidR="00901DE9">
              <w:rPr>
                <w:sz w:val="22"/>
                <w:szCs w:val="22"/>
              </w:rPr>
              <w:t>,</w:t>
            </w:r>
          </w:p>
          <w:p w:rsidR="00533459" w:rsidRPr="002072D9" w:rsidRDefault="00901DE9" w:rsidP="00901DE9">
            <w:pPr>
              <w:spacing w:after="60"/>
              <w:jc w:val="both"/>
              <w:rPr>
                <w:sz w:val="22"/>
                <w:szCs w:val="22"/>
              </w:rPr>
            </w:pPr>
            <w:r w:rsidRPr="00901DE9">
              <w:rPr>
                <w:sz w:val="22"/>
                <w:szCs w:val="22"/>
              </w:rPr>
              <w:t>Когнитивна неурофизиологија</w:t>
            </w:r>
            <w:r>
              <w:rPr>
                <w:sz w:val="22"/>
                <w:szCs w:val="22"/>
              </w:rPr>
              <w:t xml:space="preserve"> и </w:t>
            </w:r>
            <w:r w:rsidRPr="00901DE9">
              <w:rPr>
                <w:sz w:val="22"/>
                <w:szCs w:val="22"/>
              </w:rPr>
              <w:t>Неуроанатомија когниције</w:t>
            </w:r>
            <w:r w:rsidR="000C27D6">
              <w:rPr>
                <w:sz w:val="22"/>
                <w:szCs w:val="22"/>
              </w:rPr>
              <w:t>.</w:t>
            </w:r>
            <w:r w:rsidR="002072D9">
              <w:rPr>
                <w:sz w:val="22"/>
                <w:szCs w:val="22"/>
              </w:rPr>
              <w:t xml:space="preserve"> </w:t>
            </w:r>
          </w:p>
          <w:p w:rsidR="00B74971" w:rsidRPr="00B74971" w:rsidRDefault="00B74971" w:rsidP="00B74971">
            <w:pPr>
              <w:spacing w:after="60"/>
              <w:jc w:val="both"/>
              <w:rPr>
                <w:sz w:val="22"/>
                <w:szCs w:val="22"/>
                <w:lang w:val="ru-RU"/>
              </w:rPr>
            </w:pPr>
            <w:r w:rsidRPr="00B74971">
              <w:rPr>
                <w:sz w:val="22"/>
                <w:szCs w:val="22"/>
                <w:lang w:val="ru-RU"/>
              </w:rPr>
              <w:t xml:space="preserve"> Обавезни предмети се слушају током прве године студија, док се изборни предмети слушају током трећег семестра. Студент је обавезан да изабере један изборни предмет који је одговарајући за изабрани смер, односно изборно подручје. За разлику од обавезних предмета који су специфични за свако изборно подручје, постоји могућност да поједине изборне предмете изаберу студенти са више изборних подручја.</w:t>
            </w:r>
          </w:p>
          <w:p w:rsidR="00B74971" w:rsidRPr="00D36988" w:rsidRDefault="00B74971" w:rsidP="00B74971">
            <w:pPr>
              <w:spacing w:after="60"/>
              <w:jc w:val="both"/>
              <w:rPr>
                <w:sz w:val="22"/>
                <w:szCs w:val="22"/>
                <w:lang w:val="ru-RU"/>
              </w:rPr>
            </w:pPr>
            <w:r w:rsidRPr="00B74971">
              <w:rPr>
                <w:sz w:val="22"/>
                <w:szCs w:val="22"/>
                <w:lang w:val="ru-RU"/>
              </w:rPr>
              <w:t>Током целокупног трајања докторских студија кандидат ради индивидуално из области наведених предмета и овај рад се валоризује кроз есеје, презентације или друге облике јавног приказивања рада студента. Ротације по истраживачким јединицама</w:t>
            </w:r>
            <w:r w:rsidR="002072D9">
              <w:rPr>
                <w:sz w:val="22"/>
                <w:szCs w:val="22"/>
                <w:lang w:val="ru-RU"/>
              </w:rPr>
              <w:t>, односно истраживање у популацији,</w:t>
            </w:r>
            <w:r w:rsidRPr="00B74971">
              <w:rPr>
                <w:sz w:val="22"/>
                <w:szCs w:val="22"/>
                <w:lang w:val="ru-RU"/>
              </w:rPr>
              <w:t xml:space="preserve"> одвијају се током прве године студија за сва изборна подручја што има за циљ да оспособи студенте за самостални истраживачки рад. Овај вид активности је припрема за истраживачки пројекат, односно израду докторске дисертације. Докторску дисер</w:t>
            </w:r>
            <w:r w:rsidR="002072D9">
              <w:rPr>
                <w:sz w:val="22"/>
                <w:szCs w:val="22"/>
                <w:lang w:val="ru-RU"/>
              </w:rPr>
              <w:t>тацију кандидат пријављује по од</w:t>
            </w:r>
            <w:r w:rsidRPr="00B74971">
              <w:rPr>
                <w:sz w:val="22"/>
                <w:szCs w:val="22"/>
                <w:lang w:val="ru-RU"/>
              </w:rPr>
              <w:t xml:space="preserve">слушаној настави и положеним испитима. Израда дисертације почиње прикупљањем података личним радом а који чине њену емпиријску основу. Саставни део израде </w:t>
            </w:r>
            <w:r w:rsidRPr="00B74971">
              <w:rPr>
                <w:sz w:val="22"/>
                <w:szCs w:val="22"/>
                <w:lang w:val="ru-RU"/>
              </w:rPr>
              <w:lastRenderedPageBreak/>
              <w:t>докторске дисертације укључује и публиковање резултата остварених радом у оквиру студијског програма у научним часописима и то најмaње 1 рад категорије M21/22 или 2 рада категорије M23, и један рад категорије М50, при чему је студент први аутор радова, а импакт фактор часописа у којима су објављени радови не може да буде мањи од 1,0. Ово представља услов за одбрану докторске дисертације.</w:t>
            </w:r>
          </w:p>
        </w:tc>
      </w:tr>
      <w:tr w:rsidR="00B74971" w:rsidRPr="00D36988" w:rsidTr="00423F01">
        <w:tc>
          <w:tcPr>
            <w:tcW w:w="0" w:type="auto"/>
          </w:tcPr>
          <w:p w:rsidR="00B74971" w:rsidRPr="00276AF8" w:rsidRDefault="00B74971" w:rsidP="00423F01">
            <w:pPr>
              <w:shd w:val="clear" w:color="auto" w:fill="FFFFFF"/>
              <w:jc w:val="both"/>
              <w:rPr>
                <w:b/>
                <w:sz w:val="22"/>
                <w:szCs w:val="22"/>
                <w:lang w:val="sr-Cyrl-CS"/>
              </w:rPr>
            </w:pPr>
            <w:r>
              <w:rPr>
                <w:b/>
                <w:sz w:val="22"/>
                <w:szCs w:val="22"/>
              </w:rPr>
              <w:lastRenderedPageBreak/>
              <w:t>Табеле за стандард 5</w:t>
            </w:r>
            <w:r>
              <w:rPr>
                <w:b/>
                <w:sz w:val="22"/>
                <w:szCs w:val="22"/>
                <w:lang w:val="sr-Cyrl-CS"/>
              </w:rPr>
              <w:t xml:space="preserve">: </w:t>
            </w:r>
          </w:p>
          <w:p w:rsidR="00B74971" w:rsidRPr="001E5A49" w:rsidRDefault="00C744F1" w:rsidP="00423F01">
            <w:pPr>
              <w:jc w:val="both"/>
              <w:rPr>
                <w:b/>
                <w:i/>
                <w:sz w:val="22"/>
                <w:szCs w:val="22"/>
                <w:lang w:val="ru-RU"/>
              </w:rPr>
            </w:pPr>
            <w:hyperlink r:id="rId4" w:history="1">
              <w:r w:rsidR="00B74971" w:rsidRPr="0012539E">
                <w:rPr>
                  <w:rStyle w:val="Hyperlink"/>
                  <w:b/>
                  <w:bCs/>
                  <w:sz w:val="22"/>
                  <w:szCs w:val="22"/>
                  <w:lang w:val="sr-Cyrl-CS"/>
                </w:rPr>
                <w:t>Табела 5.1.</w:t>
              </w:r>
            </w:hyperlink>
            <w:r w:rsidR="00B74971" w:rsidRPr="00D36988">
              <w:rPr>
                <w:bCs/>
                <w:sz w:val="22"/>
                <w:szCs w:val="22"/>
                <w:lang w:val="sr-Cyrl-CS"/>
              </w:rPr>
              <w:t xml:space="preserve"> Спецификација  предмета  на студијском програму докторских студија</w:t>
            </w:r>
            <w:r w:rsidR="00B74971" w:rsidRPr="001E5A49">
              <w:rPr>
                <w:bCs/>
                <w:sz w:val="22"/>
                <w:szCs w:val="22"/>
                <w:lang w:val="ru-RU"/>
              </w:rPr>
              <w:t>.</w:t>
            </w:r>
          </w:p>
          <w:p w:rsidR="00B74971" w:rsidRPr="001E5A49" w:rsidRDefault="00C744F1" w:rsidP="00423F01">
            <w:pPr>
              <w:jc w:val="both"/>
              <w:rPr>
                <w:b/>
                <w:i/>
                <w:sz w:val="22"/>
                <w:szCs w:val="22"/>
                <w:lang w:val="ru-RU"/>
              </w:rPr>
            </w:pPr>
            <w:hyperlink r:id="rId5" w:history="1">
              <w:r w:rsidR="00B74971" w:rsidRPr="0012539E">
                <w:rPr>
                  <w:rStyle w:val="Hyperlink"/>
                  <w:b/>
                  <w:bCs/>
                  <w:sz w:val="22"/>
                  <w:szCs w:val="22"/>
                  <w:lang w:val="sr-Cyrl-CS"/>
                </w:rPr>
                <w:t>Табела 5.2.</w:t>
              </w:r>
            </w:hyperlink>
            <w:r w:rsidR="00B74971" w:rsidRPr="00D36988">
              <w:rPr>
                <w:bCs/>
                <w:sz w:val="22"/>
                <w:szCs w:val="22"/>
                <w:lang w:val="sr-Cyrl-CS"/>
              </w:rPr>
              <w:t xml:space="preserve"> Распоред предмета по семестрима и годинама студија</w:t>
            </w:r>
            <w:r w:rsidR="00B74971" w:rsidRPr="001E5A49">
              <w:rPr>
                <w:bCs/>
                <w:sz w:val="22"/>
                <w:szCs w:val="22"/>
                <w:lang w:val="ru-RU"/>
              </w:rPr>
              <w:t>.</w:t>
            </w:r>
          </w:p>
          <w:p w:rsidR="00B74971" w:rsidRPr="001E5A49" w:rsidRDefault="00C744F1" w:rsidP="00423F01">
            <w:pPr>
              <w:jc w:val="both"/>
              <w:rPr>
                <w:b/>
                <w:i/>
                <w:sz w:val="22"/>
                <w:szCs w:val="22"/>
                <w:lang w:val="ru-RU"/>
              </w:rPr>
            </w:pPr>
            <w:hyperlink r:id="rId6" w:history="1">
              <w:r w:rsidR="00B74971" w:rsidRPr="0012539E">
                <w:rPr>
                  <w:rStyle w:val="Hyperlink"/>
                  <w:b/>
                  <w:sz w:val="22"/>
                  <w:szCs w:val="22"/>
                  <w:lang w:val="sr-Cyrl-CS"/>
                </w:rPr>
                <w:t>Табела 5.3.</w:t>
              </w:r>
            </w:hyperlink>
            <w:r w:rsidR="00B74971" w:rsidRPr="00D36988">
              <w:rPr>
                <w:sz w:val="22"/>
                <w:szCs w:val="22"/>
                <w:lang w:val="sr-Cyrl-CS"/>
              </w:rPr>
              <w:t xml:space="preserve"> Захтеви везани за припрему докторске дисертације</w:t>
            </w:r>
            <w:r w:rsidR="00B74971" w:rsidRPr="001E5A49">
              <w:rPr>
                <w:sz w:val="22"/>
                <w:szCs w:val="22"/>
                <w:lang w:val="ru-RU"/>
              </w:rPr>
              <w:t>.</w:t>
            </w:r>
          </w:p>
          <w:p w:rsidR="00B74971" w:rsidRPr="001E5A49" w:rsidRDefault="00C744F1" w:rsidP="00423F01">
            <w:pPr>
              <w:jc w:val="both"/>
              <w:rPr>
                <w:sz w:val="22"/>
                <w:szCs w:val="22"/>
                <w:lang w:val="ru-RU"/>
              </w:rPr>
            </w:pPr>
            <w:hyperlink r:id="rId7" w:history="1">
              <w:r w:rsidR="00B74971" w:rsidRPr="0012539E">
                <w:rPr>
                  <w:rStyle w:val="Hyperlink"/>
                  <w:b/>
                  <w:sz w:val="22"/>
                  <w:szCs w:val="22"/>
                  <w:lang w:val="sr-Cyrl-CS"/>
                </w:rPr>
                <w:t>Табела 5.4.</w:t>
              </w:r>
            </w:hyperlink>
            <w:r w:rsidR="00B74971" w:rsidRPr="00D36988">
              <w:rPr>
                <w:b/>
                <w:sz w:val="22"/>
                <w:szCs w:val="22"/>
                <w:lang w:val="sr-Cyrl-CS"/>
              </w:rPr>
              <w:t xml:space="preserve"> </w:t>
            </w:r>
            <w:r w:rsidR="00B74971" w:rsidRPr="00D36988">
              <w:rPr>
                <w:sz w:val="22"/>
                <w:szCs w:val="22"/>
                <w:lang w:val="sr-Cyrl-CS"/>
              </w:rPr>
              <w:t>Листа предмета на докторским студијама</w:t>
            </w:r>
            <w:r w:rsidR="00B74971" w:rsidRPr="001E5A49">
              <w:rPr>
                <w:sz w:val="22"/>
                <w:szCs w:val="22"/>
                <w:lang w:val="ru-RU"/>
              </w:rPr>
              <w:t>.</w:t>
            </w:r>
          </w:p>
        </w:tc>
      </w:tr>
      <w:tr w:rsidR="00B74971" w:rsidRPr="00D36988" w:rsidTr="00423F01">
        <w:tc>
          <w:tcPr>
            <w:tcW w:w="0" w:type="auto"/>
          </w:tcPr>
          <w:p w:rsidR="00B74971" w:rsidRPr="00D36988" w:rsidRDefault="00B74971" w:rsidP="00423F01">
            <w:pPr>
              <w:shd w:val="clear" w:color="auto" w:fill="FFFFFF"/>
              <w:jc w:val="both"/>
              <w:rPr>
                <w:b/>
                <w:sz w:val="22"/>
                <w:szCs w:val="22"/>
                <w:lang w:val="sr-Cyrl-CS"/>
              </w:rPr>
            </w:pPr>
            <w:r>
              <w:rPr>
                <w:b/>
                <w:sz w:val="22"/>
                <w:szCs w:val="22"/>
              </w:rPr>
              <w:t>Прилози за стандард 5</w:t>
            </w:r>
            <w:r w:rsidRPr="00D36988">
              <w:rPr>
                <w:b/>
                <w:sz w:val="22"/>
                <w:szCs w:val="22"/>
                <w:lang w:val="sr-Cyrl-CS"/>
              </w:rPr>
              <w:t xml:space="preserve">: </w:t>
            </w:r>
          </w:p>
          <w:p w:rsidR="00B74971" w:rsidRPr="001E5A49" w:rsidRDefault="00B74971" w:rsidP="00423F01">
            <w:pPr>
              <w:shd w:val="clear" w:color="auto" w:fill="FFFFFF"/>
              <w:spacing w:line="269" w:lineRule="exact"/>
              <w:rPr>
                <w:b/>
                <w:sz w:val="22"/>
                <w:szCs w:val="22"/>
                <w:lang w:val="ru-RU"/>
              </w:rPr>
            </w:pPr>
            <w:r w:rsidRPr="00D36988">
              <w:rPr>
                <w:b/>
                <w:sz w:val="22"/>
                <w:szCs w:val="22"/>
                <w:lang w:val="sr-Cyrl-CS"/>
              </w:rPr>
              <w:t>Прилог 5.1</w:t>
            </w:r>
            <w:r w:rsidRPr="001E5A49">
              <w:rPr>
                <w:b/>
                <w:sz w:val="22"/>
                <w:szCs w:val="22"/>
                <w:lang w:val="ru-RU"/>
              </w:rPr>
              <w:t xml:space="preserve">. </w:t>
            </w:r>
            <w:r w:rsidRPr="00D36988">
              <w:rPr>
                <w:sz w:val="22"/>
                <w:szCs w:val="22"/>
                <w:lang w:val="sr-Cyrl-CS"/>
              </w:rPr>
              <w:t>Статут</w:t>
            </w:r>
            <w:r w:rsidRPr="00D36988">
              <w:rPr>
                <w:b/>
                <w:sz w:val="22"/>
                <w:szCs w:val="22"/>
                <w:lang w:val="sr-Cyrl-CS"/>
              </w:rPr>
              <w:t xml:space="preserve"> (</w:t>
            </w:r>
            <w:r w:rsidRPr="00D36988">
              <w:rPr>
                <w:sz w:val="22"/>
                <w:szCs w:val="22"/>
                <w:lang w:val="sr-Cyrl-CS"/>
              </w:rPr>
              <w:t>прилог је исти као у документацији за установу)</w:t>
            </w:r>
            <w:r w:rsidRPr="001E5A49">
              <w:rPr>
                <w:sz w:val="22"/>
                <w:szCs w:val="22"/>
                <w:lang w:val="ru-RU"/>
              </w:rPr>
              <w:t>.</w:t>
            </w:r>
          </w:p>
          <w:p w:rsidR="00B74971" w:rsidRPr="001E5A49" w:rsidRDefault="00B74971" w:rsidP="00423F01">
            <w:pPr>
              <w:shd w:val="clear" w:color="auto" w:fill="FFFFFF"/>
              <w:jc w:val="both"/>
              <w:rPr>
                <w:sz w:val="22"/>
                <w:szCs w:val="22"/>
                <w:lang w:val="ru-RU"/>
              </w:rPr>
            </w:pPr>
            <w:r w:rsidRPr="00D36988">
              <w:rPr>
                <w:b/>
                <w:sz w:val="22"/>
                <w:szCs w:val="22"/>
                <w:lang w:val="sr-Cyrl-CS"/>
              </w:rPr>
              <w:t>Прилог 5.2</w:t>
            </w:r>
            <w:r w:rsidRPr="001E5A49">
              <w:rPr>
                <w:b/>
                <w:sz w:val="22"/>
                <w:szCs w:val="22"/>
                <w:lang w:val="ru-RU"/>
              </w:rPr>
              <w:t xml:space="preserve">, </w:t>
            </w:r>
            <w:r w:rsidRPr="00D36988">
              <w:rPr>
                <w:sz w:val="22"/>
                <w:szCs w:val="22"/>
                <w:lang w:val="sr-Cyrl-CS"/>
              </w:rPr>
              <w:t>Књига предмета (у документацији  и на сајту институције)</w:t>
            </w:r>
            <w:r w:rsidRPr="001E5A49">
              <w:rPr>
                <w:sz w:val="22"/>
                <w:szCs w:val="22"/>
                <w:lang w:val="ru-RU"/>
              </w:rPr>
              <w:t>.</w:t>
            </w:r>
          </w:p>
          <w:p w:rsidR="00B74971" w:rsidRPr="001E5A49" w:rsidRDefault="00B74971" w:rsidP="00423F01">
            <w:pPr>
              <w:shd w:val="clear" w:color="auto" w:fill="FFFFFF"/>
              <w:jc w:val="both"/>
              <w:rPr>
                <w:sz w:val="22"/>
                <w:szCs w:val="22"/>
                <w:lang w:val="ru-RU"/>
              </w:rPr>
            </w:pPr>
            <w:r w:rsidRPr="00D63AB7">
              <w:rPr>
                <w:b/>
                <w:sz w:val="22"/>
                <w:szCs w:val="22"/>
                <w:lang w:val="sr-Cyrl-CS"/>
              </w:rPr>
              <w:t>Прилог 5.3</w:t>
            </w:r>
            <w:r w:rsidRPr="001E5A49">
              <w:rPr>
                <w:b/>
                <w:sz w:val="22"/>
                <w:szCs w:val="22"/>
                <w:lang w:val="ru-RU"/>
              </w:rPr>
              <w:t xml:space="preserve">. </w:t>
            </w:r>
            <w:r w:rsidRPr="00D63AB7">
              <w:rPr>
                <w:sz w:val="22"/>
                <w:szCs w:val="22"/>
              </w:rPr>
              <w:t>Правилник о докторским студијама</w:t>
            </w:r>
            <w:r>
              <w:rPr>
                <w:sz w:val="22"/>
                <w:szCs w:val="22"/>
              </w:rPr>
              <w:t>.</w:t>
            </w:r>
          </w:p>
        </w:tc>
      </w:tr>
    </w:tbl>
    <w:p w:rsidR="00B74971" w:rsidRDefault="00B74971" w:rsidP="00B74971">
      <w:pPr>
        <w:spacing w:after="60"/>
        <w:jc w:val="both"/>
        <w:rPr>
          <w:sz w:val="22"/>
          <w:szCs w:val="22"/>
          <w:highlight w:val="yellow"/>
          <w:lang w:val="sr-Cyrl-CS"/>
        </w:rPr>
      </w:pPr>
    </w:p>
    <w:p w:rsidR="00814F36" w:rsidRDefault="00882634"/>
    <w:sectPr w:rsidR="00814F36" w:rsidSect="00282EF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74971"/>
    <w:rsid w:val="000C27D6"/>
    <w:rsid w:val="002072D9"/>
    <w:rsid w:val="00282EF7"/>
    <w:rsid w:val="002C2E9B"/>
    <w:rsid w:val="00533459"/>
    <w:rsid w:val="00882634"/>
    <w:rsid w:val="00901DE9"/>
    <w:rsid w:val="009631B8"/>
    <w:rsid w:val="00B74971"/>
    <w:rsid w:val="00C744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971"/>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4971"/>
    <w:rPr>
      <w:rFonts w:cs="Times New Roman"/>
      <w:color w:val="0000FF"/>
      <w:u w:val="single"/>
    </w:rPr>
  </w:style>
  <w:style w:type="paragraph" w:styleId="NormalWeb">
    <w:name w:val="Normal (Web)"/>
    <w:basedOn w:val="Normal"/>
    <w:uiPriority w:val="99"/>
    <w:unhideWhenUsed/>
    <w:rsid w:val="00533459"/>
    <w:pPr>
      <w:widowControl/>
      <w:autoSpaceDE/>
      <w:autoSpaceDN/>
      <w:adjustRightInd/>
      <w:spacing w:before="100" w:beforeAutospacing="1" w:after="100" w:afterAutospacing="1"/>
    </w:pPr>
    <w:rPr>
      <w:rFonts w:eastAsia="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685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Tabele/Tabela%205.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abele/Tabela%205.3.doc" TargetMode="External"/><Relationship Id="rId5" Type="http://schemas.openxmlformats.org/officeDocument/2006/relationships/hyperlink" Target="Tabele/Tabela%205.2.doc" TargetMode="External"/><Relationship Id="rId4" Type="http://schemas.openxmlformats.org/officeDocument/2006/relationships/hyperlink" Target="Tabele/Tabela%205.1.doc"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4</cp:revision>
  <dcterms:created xsi:type="dcterms:W3CDTF">2022-01-11T00:58:00Z</dcterms:created>
  <dcterms:modified xsi:type="dcterms:W3CDTF">2022-01-12T08:59:00Z</dcterms:modified>
</cp:coreProperties>
</file>